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48" w:rsidRDefault="002D6248" w:rsidP="002D6248">
      <w:pPr>
        <w:tabs>
          <w:tab w:val="left" w:pos="3330"/>
          <w:tab w:val="center" w:pos="4339"/>
          <w:tab w:val="center" w:pos="4377"/>
          <w:tab w:val="left" w:pos="5279"/>
          <w:tab w:val="right" w:pos="8640"/>
        </w:tabs>
        <w:spacing w:after="0" w:line="240" w:lineRule="auto"/>
        <w:ind w:left="210" w:right="-250" w:firstLine="3330"/>
        <w:rPr>
          <w:rFonts w:ascii="Times New Roman" w:hAnsi="Times New Roman"/>
          <w:b/>
          <w:color w:val="000000"/>
          <w:spacing w:val="8"/>
        </w:rPr>
      </w:pPr>
      <w:bookmarkStart w:id="0" w:name="_GoBack"/>
      <w:bookmarkEnd w:id="0"/>
    </w:p>
    <w:p w:rsidR="002D6248" w:rsidRDefault="002D6248" w:rsidP="002D6248">
      <w:pPr>
        <w:tabs>
          <w:tab w:val="left" w:pos="3330"/>
          <w:tab w:val="center" w:pos="4339"/>
          <w:tab w:val="center" w:pos="4377"/>
          <w:tab w:val="left" w:pos="5279"/>
          <w:tab w:val="right" w:pos="8640"/>
        </w:tabs>
        <w:spacing w:after="0" w:line="240" w:lineRule="auto"/>
        <w:ind w:left="210" w:right="-250" w:firstLine="3330"/>
        <w:rPr>
          <w:rFonts w:ascii="Times New Roman" w:hAnsi="Times New Roman"/>
          <w:b/>
          <w:color w:val="000000"/>
          <w:spacing w:val="8"/>
          <w:sz w:val="18"/>
          <w:szCs w:val="18"/>
          <w:lang w:eastAsia="pt-BR"/>
        </w:rPr>
      </w:pPr>
      <w:r>
        <w:rPr>
          <w:rFonts w:ascii="Times New Roman" w:hAnsi="Times New Roman"/>
          <w:b/>
          <w:color w:val="000000"/>
          <w:spacing w:val="8"/>
          <w:sz w:val="18"/>
          <w:szCs w:val="18"/>
        </w:rPr>
        <w:object w:dxaOrig="112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8.5pt" o:ole="" fillcolor="window">
            <v:imagedata r:id="rId6" o:title=""/>
          </v:shape>
          <o:OLEObject Type="Embed" ProgID="Word.Picture.8" ShapeID="_x0000_i1025" DrawAspect="Content" ObjectID="_1567314395" r:id="rId7"/>
        </w:object>
      </w:r>
    </w:p>
    <w:p w:rsidR="002D6248" w:rsidRDefault="002D6248" w:rsidP="002D6248">
      <w:pPr>
        <w:tabs>
          <w:tab w:val="center" w:pos="4339"/>
          <w:tab w:val="right" w:pos="8640"/>
        </w:tabs>
        <w:spacing w:after="0" w:line="240" w:lineRule="auto"/>
        <w:jc w:val="center"/>
        <w:rPr>
          <w:rFonts w:ascii="Times New Roman" w:hAnsi="Times New Roman"/>
          <w:color w:val="000000"/>
          <w:spacing w:val="8"/>
          <w:sz w:val="18"/>
          <w:szCs w:val="18"/>
          <w:lang w:eastAsia="pt-BR"/>
        </w:rPr>
      </w:pPr>
      <w:r>
        <w:rPr>
          <w:rFonts w:ascii="Times New Roman" w:hAnsi="Times New Roman"/>
          <w:color w:val="000000"/>
          <w:spacing w:val="8"/>
          <w:sz w:val="18"/>
          <w:szCs w:val="18"/>
          <w:lang w:eastAsia="pt-BR"/>
        </w:rPr>
        <w:t>ESTADO DO RIO GRANDE DO SUL</w:t>
      </w:r>
    </w:p>
    <w:p w:rsidR="002D6248" w:rsidRDefault="002D6248" w:rsidP="002D6248">
      <w:pPr>
        <w:tabs>
          <w:tab w:val="center" w:pos="4339"/>
          <w:tab w:val="right" w:pos="8640"/>
        </w:tabs>
        <w:spacing w:after="0" w:line="240" w:lineRule="auto"/>
        <w:jc w:val="center"/>
        <w:rPr>
          <w:rFonts w:ascii="Times New Roman" w:hAnsi="Times New Roman"/>
          <w:color w:val="000000"/>
          <w:spacing w:val="8"/>
          <w:sz w:val="18"/>
          <w:szCs w:val="18"/>
          <w:lang w:eastAsia="pt-BR"/>
        </w:rPr>
      </w:pPr>
      <w:r>
        <w:rPr>
          <w:rFonts w:ascii="Times New Roman" w:hAnsi="Times New Roman"/>
          <w:color w:val="000000"/>
          <w:spacing w:val="8"/>
          <w:sz w:val="18"/>
          <w:szCs w:val="18"/>
          <w:lang w:eastAsia="pt-BR"/>
        </w:rPr>
        <w:t>MUNICÍPIO DE SANTA BÁRBARA DO SUL</w:t>
      </w:r>
    </w:p>
    <w:p w:rsidR="002D6248" w:rsidRDefault="002D6248" w:rsidP="002D6248">
      <w:pPr>
        <w:tabs>
          <w:tab w:val="center" w:pos="4252"/>
          <w:tab w:val="right" w:pos="8504"/>
        </w:tabs>
        <w:spacing w:after="0" w:line="240" w:lineRule="auto"/>
        <w:rPr>
          <w:rFonts w:ascii="Times New Roman" w:hAnsi="Times New Roman"/>
          <w:color w:val="000000"/>
          <w:spacing w:val="8"/>
          <w:sz w:val="18"/>
          <w:szCs w:val="18"/>
          <w:lang w:eastAsia="pt-BR"/>
        </w:rPr>
      </w:pPr>
      <w:r>
        <w:rPr>
          <w:rFonts w:ascii="Times New Roman" w:hAnsi="Times New Roman"/>
          <w:color w:val="000000"/>
          <w:spacing w:val="8"/>
          <w:sz w:val="18"/>
          <w:szCs w:val="18"/>
          <w:lang w:eastAsia="pt-BR"/>
        </w:rPr>
        <w:tab/>
        <w:t xml:space="preserve">Assessoria Jurídica. </w:t>
      </w:r>
    </w:p>
    <w:p w:rsidR="002D6248" w:rsidRDefault="002D6248" w:rsidP="002D6248">
      <w:pPr>
        <w:tabs>
          <w:tab w:val="center" w:pos="4252"/>
          <w:tab w:val="right" w:pos="8504"/>
        </w:tabs>
        <w:spacing w:after="0" w:line="240" w:lineRule="auto"/>
        <w:rPr>
          <w:rFonts w:ascii="Times New Roman" w:hAnsi="Times New Roman"/>
          <w:color w:val="000000"/>
          <w:spacing w:val="8"/>
          <w:sz w:val="18"/>
          <w:szCs w:val="18"/>
          <w:lang w:eastAsia="pt-BR"/>
        </w:rPr>
      </w:pPr>
    </w:p>
    <w:p w:rsidR="002D6248" w:rsidRDefault="002D6248" w:rsidP="002D6248">
      <w:pPr>
        <w:tabs>
          <w:tab w:val="center" w:pos="4252"/>
          <w:tab w:val="right" w:pos="8504"/>
        </w:tabs>
        <w:spacing w:after="0" w:line="240" w:lineRule="auto"/>
        <w:rPr>
          <w:rFonts w:ascii="Times New Roman" w:hAnsi="Times New Roman"/>
          <w:color w:val="000000"/>
          <w:spacing w:val="8"/>
          <w:sz w:val="18"/>
          <w:szCs w:val="18"/>
          <w:lang w:eastAsia="pt-BR"/>
        </w:rPr>
      </w:pPr>
    </w:p>
    <w:p w:rsidR="002D6248" w:rsidRDefault="005F30D5" w:rsidP="002D6248">
      <w:pPr>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LEI N.º 4.614</w:t>
      </w:r>
      <w:r w:rsidR="002D6248">
        <w:rPr>
          <w:rFonts w:ascii="Times New Roman" w:hAnsi="Times New Roman"/>
          <w:b/>
          <w:sz w:val="24"/>
          <w:szCs w:val="24"/>
          <w:lang w:eastAsia="pt-BR"/>
        </w:rPr>
        <w:t xml:space="preserve">/2017 </w:t>
      </w:r>
    </w:p>
    <w:p w:rsidR="002D6248" w:rsidRDefault="002D6248" w:rsidP="002D6248">
      <w:pPr>
        <w:spacing w:after="0" w:line="240" w:lineRule="auto"/>
        <w:jc w:val="center"/>
        <w:rPr>
          <w:rFonts w:ascii="Times New Roman" w:hAnsi="Times New Roman"/>
          <w:b/>
          <w:sz w:val="24"/>
          <w:szCs w:val="24"/>
          <w:lang w:eastAsia="pt-BR"/>
        </w:rPr>
      </w:pPr>
      <w:r>
        <w:rPr>
          <w:rFonts w:ascii="Times New Roman" w:hAnsi="Times New Roman"/>
          <w:b/>
          <w:sz w:val="24"/>
          <w:szCs w:val="24"/>
          <w:lang w:eastAsia="pt-BR"/>
        </w:rPr>
        <w:t>DE 19 DE SETEMBRO</w:t>
      </w:r>
    </w:p>
    <w:p w:rsidR="002D6248" w:rsidRDefault="002D6248" w:rsidP="002D6248">
      <w:pPr>
        <w:spacing w:after="0" w:line="240" w:lineRule="auto"/>
        <w:jc w:val="center"/>
        <w:rPr>
          <w:rFonts w:ascii="Times New Roman" w:hAnsi="Times New Roman"/>
          <w:b/>
          <w:sz w:val="20"/>
          <w:szCs w:val="20"/>
          <w:lang w:eastAsia="pt-BR"/>
        </w:rPr>
      </w:pPr>
    </w:p>
    <w:p w:rsidR="002D6248" w:rsidRDefault="002D6248" w:rsidP="002D6248">
      <w:pPr>
        <w:spacing w:after="0" w:line="240" w:lineRule="auto"/>
        <w:rPr>
          <w:rFonts w:ascii="Times New Roman" w:hAnsi="Times New Roman"/>
          <w:b/>
          <w:sz w:val="20"/>
          <w:szCs w:val="20"/>
          <w:lang w:eastAsia="pt-BR"/>
        </w:rPr>
      </w:pPr>
    </w:p>
    <w:p w:rsidR="002D6248" w:rsidRDefault="002D6248" w:rsidP="002D6248">
      <w:pPr>
        <w:rPr>
          <w:b/>
          <w:bCs/>
          <w:sz w:val="16"/>
          <w:szCs w:val="16"/>
        </w:rPr>
      </w:pPr>
    </w:p>
    <w:p w:rsidR="00E451D1" w:rsidRDefault="00E451D1" w:rsidP="00907A97">
      <w:pPr>
        <w:spacing w:line="360" w:lineRule="auto"/>
        <w:ind w:left="4320"/>
        <w:jc w:val="both"/>
        <w:rPr>
          <w:rFonts w:ascii="Times New Roman" w:hAnsi="Times New Roman"/>
          <w:sz w:val="24"/>
          <w:szCs w:val="24"/>
          <w:lang w:eastAsia="pt-BR"/>
        </w:rPr>
      </w:pPr>
      <w:r>
        <w:rPr>
          <w:rFonts w:ascii="Times New Roman" w:hAnsi="Times New Roman"/>
          <w:sz w:val="24"/>
          <w:szCs w:val="24"/>
          <w:lang w:eastAsia="pt-BR"/>
        </w:rPr>
        <w:t>ALTERA A REDAÇÃO DO ARTIGO 67 DA LEI MUNICIPAL 2.332/2002, A NOMENCLATURA DO CAPITULO II, E A TABELA “X” DA REFERIDA LEI, CONFORME ESPECIFICA E DÁ OUTRAS PROVIDÊNCIAS.</w:t>
      </w:r>
    </w:p>
    <w:p w:rsidR="00E451D1" w:rsidRDefault="00E451D1" w:rsidP="00907A97">
      <w:pPr>
        <w:spacing w:line="360" w:lineRule="auto"/>
        <w:ind w:firstLine="1440"/>
        <w:jc w:val="both"/>
        <w:rPr>
          <w:rFonts w:ascii="Times New Roman" w:hAnsi="Times New Roman"/>
          <w:sz w:val="24"/>
          <w:szCs w:val="24"/>
          <w:lang w:eastAsia="pt-BR"/>
        </w:rPr>
      </w:pPr>
      <w:r>
        <w:rPr>
          <w:rFonts w:ascii="Times New Roman" w:hAnsi="Times New Roman"/>
          <w:sz w:val="24"/>
          <w:szCs w:val="24"/>
          <w:lang w:eastAsia="pt-BR"/>
        </w:rPr>
        <w:t>MÁRIO ROBERTO UTZIG FILHO, Prefeito Municipal de Santa Bárbara do Sul, Estado do Rio Grande do Sul, no uso de atribuições que lhe são asseguradas pela legislação em vigor, FAZ SABER que, ouvido o plenário, a Câmara Municipal aprovou e ele sanciona e promulga a seguinte Lei:</w:t>
      </w:r>
    </w:p>
    <w:p w:rsidR="00E451D1" w:rsidRDefault="00E451D1" w:rsidP="00E451D1">
      <w:pPr>
        <w:pStyle w:val="TextosemFormatao"/>
        <w:jc w:val="both"/>
        <w:rPr>
          <w:rFonts w:ascii="Times New Roman" w:eastAsia="MS Mincho" w:hAnsi="Times New Roman" w:cs="Times New Roman"/>
          <w:b/>
          <w:sz w:val="24"/>
          <w:szCs w:val="24"/>
        </w:rPr>
      </w:pPr>
      <w:r>
        <w:rPr>
          <w:rFonts w:ascii="Times New Roman" w:hAnsi="Times New Roman" w:cs="Times New Roman"/>
          <w:b/>
          <w:sz w:val="24"/>
          <w:szCs w:val="24"/>
        </w:rPr>
        <w:t>Artigo 1° -</w:t>
      </w:r>
      <w:r>
        <w:rPr>
          <w:rFonts w:ascii="Times New Roman" w:hAnsi="Times New Roman" w:cs="Times New Roman"/>
          <w:sz w:val="24"/>
          <w:szCs w:val="24"/>
        </w:rPr>
        <w:t xml:space="preserve"> </w:t>
      </w:r>
      <w:r>
        <w:rPr>
          <w:rFonts w:ascii="Times New Roman" w:hAnsi="Times New Roman" w:cs="Times New Roman"/>
          <w:sz w:val="24"/>
          <w:szCs w:val="24"/>
        </w:rPr>
        <w:tab/>
        <w:t>Fica alterado a nomenclatura do Capítulo II, e o art. 67 da Lei Municipal 3.332/2002, que passa a ter a seguinte redação:</w:t>
      </w:r>
    </w:p>
    <w:p w:rsidR="00E451D1" w:rsidRDefault="00E451D1" w:rsidP="00E451D1">
      <w:pPr>
        <w:pStyle w:val="TextosemFormatao"/>
        <w:jc w:val="center"/>
        <w:rPr>
          <w:rFonts w:ascii="Times New Roman" w:eastAsia="MS Mincho" w:hAnsi="Times New Roman" w:cs="Times New Roman"/>
          <w:b/>
          <w:sz w:val="24"/>
          <w:szCs w:val="24"/>
        </w:rPr>
      </w:pPr>
    </w:p>
    <w:p w:rsidR="00E451D1" w:rsidRDefault="00E451D1" w:rsidP="00E451D1">
      <w:pPr>
        <w:pStyle w:val="TextosemFormatao"/>
        <w:jc w:val="center"/>
        <w:rPr>
          <w:rFonts w:ascii="Times New Roman" w:eastAsia="MS Mincho" w:hAnsi="Times New Roman" w:cs="Times New Roman"/>
          <w:b/>
          <w:i/>
          <w:sz w:val="24"/>
          <w:szCs w:val="24"/>
        </w:rPr>
      </w:pPr>
      <w:r>
        <w:rPr>
          <w:rFonts w:ascii="Times New Roman" w:eastAsia="MS Mincho" w:hAnsi="Times New Roman" w:cs="Times New Roman"/>
          <w:b/>
          <w:i/>
          <w:sz w:val="24"/>
          <w:szCs w:val="24"/>
        </w:rPr>
        <w:t>CAPÍTULO II</w:t>
      </w:r>
    </w:p>
    <w:p w:rsidR="00E451D1" w:rsidRDefault="00E451D1" w:rsidP="00E451D1">
      <w:pPr>
        <w:pStyle w:val="TextosemFormatao"/>
        <w:jc w:val="center"/>
        <w:rPr>
          <w:rFonts w:ascii="Times New Roman" w:eastAsia="MS Mincho" w:hAnsi="Times New Roman" w:cs="Times New Roman"/>
          <w:b/>
          <w:i/>
          <w:sz w:val="24"/>
          <w:szCs w:val="24"/>
        </w:rPr>
      </w:pPr>
      <w:r>
        <w:rPr>
          <w:rFonts w:ascii="Times New Roman" w:eastAsia="MS Mincho" w:hAnsi="Times New Roman" w:cs="Times New Roman"/>
          <w:b/>
          <w:i/>
          <w:sz w:val="24"/>
          <w:szCs w:val="24"/>
        </w:rPr>
        <w:t xml:space="preserve">DA TAXA DE COLETA DE LIXO </w:t>
      </w:r>
    </w:p>
    <w:p w:rsidR="00E451D1" w:rsidRDefault="00E451D1" w:rsidP="00E451D1">
      <w:pPr>
        <w:pStyle w:val="TextosemFormatao"/>
        <w:jc w:val="center"/>
        <w:rPr>
          <w:rFonts w:ascii="Times New Roman" w:eastAsia="MS Mincho" w:hAnsi="Times New Roman" w:cs="Times New Roman"/>
          <w:b/>
          <w:i/>
          <w:sz w:val="24"/>
          <w:szCs w:val="24"/>
        </w:rPr>
      </w:pPr>
    </w:p>
    <w:p w:rsidR="00E451D1" w:rsidRDefault="00E451D1" w:rsidP="00E451D1">
      <w:pPr>
        <w:pStyle w:val="TextosemFormatao"/>
        <w:jc w:val="center"/>
        <w:rPr>
          <w:rFonts w:ascii="Times New Roman" w:eastAsia="MS Mincho" w:hAnsi="Times New Roman" w:cs="Times New Roman"/>
          <w:b/>
          <w:i/>
          <w:sz w:val="24"/>
          <w:szCs w:val="24"/>
        </w:rPr>
      </w:pPr>
      <w:r>
        <w:rPr>
          <w:rFonts w:ascii="Times New Roman" w:eastAsia="MS Mincho" w:hAnsi="Times New Roman" w:cs="Times New Roman"/>
          <w:b/>
          <w:i/>
          <w:sz w:val="24"/>
          <w:szCs w:val="24"/>
        </w:rPr>
        <w:t>SEÇÃO I</w:t>
      </w:r>
    </w:p>
    <w:p w:rsidR="00E451D1" w:rsidRDefault="00E451D1" w:rsidP="00E451D1">
      <w:pPr>
        <w:pStyle w:val="Ttulo3"/>
        <w:rPr>
          <w:szCs w:val="24"/>
        </w:rPr>
      </w:pPr>
      <w:r>
        <w:rPr>
          <w:rFonts w:eastAsia="MS Mincho"/>
          <w:i/>
          <w:szCs w:val="24"/>
        </w:rPr>
        <w:t>Da Incidência</w:t>
      </w:r>
    </w:p>
    <w:p w:rsidR="00E451D1" w:rsidRDefault="00E451D1" w:rsidP="00E451D1">
      <w:pPr>
        <w:pStyle w:val="TextosemFormatao"/>
        <w:ind w:left="708"/>
        <w:jc w:val="both"/>
        <w:rPr>
          <w:rFonts w:ascii="Times New Roman" w:eastAsia="MS Mincho" w:hAnsi="Times New Roman" w:cs="Times New Roman"/>
          <w:i/>
          <w:sz w:val="24"/>
          <w:szCs w:val="24"/>
        </w:rPr>
      </w:pPr>
      <w:r>
        <w:rPr>
          <w:rFonts w:ascii="Times New Roman" w:eastAsia="MS Mincho" w:hAnsi="Times New Roman" w:cs="Times New Roman"/>
          <w:b/>
          <w:i/>
          <w:sz w:val="24"/>
          <w:szCs w:val="24"/>
        </w:rPr>
        <w:t>Art. 67</w:t>
      </w:r>
      <w:r>
        <w:rPr>
          <w:rFonts w:ascii="Times New Roman" w:eastAsia="MS Mincho" w:hAnsi="Times New Roman" w:cs="Times New Roman"/>
          <w:i/>
          <w:sz w:val="24"/>
          <w:szCs w:val="24"/>
        </w:rPr>
        <w:t xml:space="preserve"> - A taxa de coleta de lixo é devida pelo proprietário do imóvel, o titular do domínio útil ou seu possuidor a qualquer título, cuja zona seja beneficiada, efetiva ou potencialmente, pelo respectivo serviço.</w:t>
      </w:r>
    </w:p>
    <w:p w:rsidR="00E451D1" w:rsidRDefault="00E451D1" w:rsidP="00E451D1">
      <w:pPr>
        <w:pStyle w:val="TextosemFormatao"/>
        <w:jc w:val="both"/>
        <w:rPr>
          <w:rFonts w:ascii="Times New Roman" w:eastAsia="MS Mincho" w:hAnsi="Times New Roman" w:cs="Times New Roman"/>
          <w:i/>
          <w:sz w:val="24"/>
          <w:szCs w:val="24"/>
        </w:rPr>
      </w:pPr>
      <w:r>
        <w:rPr>
          <w:rFonts w:ascii="Times New Roman" w:eastAsia="MS Mincho" w:hAnsi="Times New Roman" w:cs="Times New Roman"/>
          <w:i/>
          <w:sz w:val="24"/>
          <w:szCs w:val="24"/>
        </w:rPr>
        <w:tab/>
      </w:r>
      <w:r>
        <w:rPr>
          <w:rFonts w:ascii="Times New Roman" w:eastAsia="MS Mincho" w:hAnsi="Times New Roman" w:cs="Times New Roman"/>
          <w:i/>
          <w:sz w:val="24"/>
          <w:szCs w:val="24"/>
        </w:rPr>
        <w:tab/>
        <w:t>§ 1º - Considera-se para fins incidência da taxa de lixo;</w:t>
      </w:r>
    </w:p>
    <w:p w:rsidR="00E451D1" w:rsidRDefault="00E451D1" w:rsidP="00E451D1">
      <w:pPr>
        <w:pStyle w:val="TextosemFormatao"/>
        <w:numPr>
          <w:ilvl w:val="0"/>
          <w:numId w:val="2"/>
        </w:numPr>
        <w:jc w:val="both"/>
        <w:rPr>
          <w:rFonts w:ascii="Times New Roman" w:eastAsia="MS Mincho" w:hAnsi="Times New Roman" w:cs="Times New Roman"/>
          <w:i/>
          <w:sz w:val="24"/>
          <w:szCs w:val="24"/>
        </w:rPr>
      </w:pPr>
      <w:r>
        <w:rPr>
          <w:rFonts w:ascii="Times New Roman" w:eastAsia="MS Mincho" w:hAnsi="Times New Roman" w:cs="Times New Roman"/>
          <w:i/>
          <w:sz w:val="24"/>
          <w:szCs w:val="24"/>
        </w:rPr>
        <w:t>cada unidade autônoma predial conforme destinação dada pela Tabela X, e quando as mesmas forem conjugadas a que representar maior alíquota;</w:t>
      </w:r>
    </w:p>
    <w:p w:rsidR="00E451D1" w:rsidRDefault="00E451D1" w:rsidP="00E451D1">
      <w:pPr>
        <w:pStyle w:val="TextosemFormatao"/>
        <w:numPr>
          <w:ilvl w:val="0"/>
          <w:numId w:val="2"/>
        </w:numPr>
        <w:jc w:val="both"/>
        <w:rPr>
          <w:rFonts w:ascii="Times New Roman" w:eastAsia="MS Mincho" w:hAnsi="Times New Roman" w:cs="Times New Roman"/>
          <w:i/>
          <w:sz w:val="24"/>
          <w:szCs w:val="24"/>
        </w:rPr>
      </w:pPr>
      <w:r>
        <w:rPr>
          <w:rFonts w:ascii="Times New Roman" w:eastAsia="MS Mincho" w:hAnsi="Times New Roman" w:cs="Times New Roman"/>
          <w:i/>
          <w:sz w:val="24"/>
          <w:szCs w:val="24"/>
        </w:rPr>
        <w:t>o terreno baldio;</w:t>
      </w:r>
    </w:p>
    <w:p w:rsidR="00E451D1" w:rsidRDefault="00E451D1" w:rsidP="00E451D1">
      <w:pPr>
        <w:pStyle w:val="TextosemFormatao"/>
        <w:numPr>
          <w:ilvl w:val="0"/>
          <w:numId w:val="2"/>
        </w:numPr>
        <w:jc w:val="both"/>
        <w:rPr>
          <w:rFonts w:ascii="Times New Roman" w:eastAsia="MS Mincho" w:hAnsi="Times New Roman" w:cs="Times New Roman"/>
          <w:i/>
          <w:sz w:val="24"/>
          <w:szCs w:val="24"/>
        </w:rPr>
      </w:pPr>
      <w:r>
        <w:rPr>
          <w:rFonts w:ascii="Times New Roman" w:eastAsia="MS Mincho" w:hAnsi="Times New Roman" w:cs="Times New Roman"/>
          <w:i/>
          <w:sz w:val="24"/>
          <w:szCs w:val="24"/>
        </w:rPr>
        <w:t>pela efetiva ou potencial disponibilização do serviço, independentemente do imóvel estar no cadastro de IPTU.</w:t>
      </w:r>
    </w:p>
    <w:p w:rsidR="00E451D1" w:rsidRDefault="00E451D1" w:rsidP="00E451D1">
      <w:pPr>
        <w:pStyle w:val="TextosemFormatao"/>
        <w:ind w:left="2490"/>
        <w:jc w:val="both"/>
        <w:rPr>
          <w:rFonts w:ascii="Times New Roman" w:eastAsia="MS Mincho" w:hAnsi="Times New Roman" w:cs="Times New Roman"/>
          <w:i/>
          <w:sz w:val="24"/>
          <w:szCs w:val="24"/>
        </w:rPr>
      </w:pPr>
    </w:p>
    <w:p w:rsidR="00E451D1" w:rsidRDefault="00E451D1" w:rsidP="00E451D1">
      <w:pPr>
        <w:pStyle w:val="TextosemFormatao"/>
        <w:ind w:left="1410"/>
        <w:jc w:val="both"/>
        <w:rPr>
          <w:rFonts w:ascii="Times New Roman" w:eastAsia="MS Mincho" w:hAnsi="Times New Roman" w:cs="Times New Roman"/>
          <w:i/>
          <w:sz w:val="24"/>
          <w:szCs w:val="24"/>
        </w:rPr>
      </w:pPr>
      <w:r>
        <w:rPr>
          <w:rFonts w:ascii="Times New Roman" w:eastAsia="MS Mincho" w:hAnsi="Times New Roman" w:cs="Times New Roman"/>
          <w:i/>
          <w:sz w:val="24"/>
          <w:szCs w:val="24"/>
        </w:rPr>
        <w:lastRenderedPageBreak/>
        <w:t>§ 2º - O Município poderá regulamentar por Decreto o que for necessário para discernir eventuais dúvidas na incidência do tributo.</w:t>
      </w:r>
    </w:p>
    <w:p w:rsidR="00E451D1" w:rsidRDefault="00E451D1" w:rsidP="00E451D1">
      <w:pPr>
        <w:pStyle w:val="TextosemFormatao"/>
        <w:ind w:left="1410"/>
        <w:jc w:val="both"/>
        <w:rPr>
          <w:rFonts w:ascii="Times New Roman" w:eastAsia="MS Mincho" w:hAnsi="Times New Roman" w:cs="Times New Roman"/>
          <w:i/>
          <w:sz w:val="24"/>
          <w:szCs w:val="24"/>
        </w:rPr>
      </w:pPr>
    </w:p>
    <w:p w:rsidR="00E451D1" w:rsidRDefault="00E451D1" w:rsidP="00E451D1">
      <w:pPr>
        <w:pStyle w:val="TextosemFormatao"/>
        <w:ind w:left="1410"/>
        <w:jc w:val="center"/>
        <w:rPr>
          <w:rFonts w:ascii="Times New Roman" w:eastAsia="MS Mincho" w:hAnsi="Times New Roman" w:cs="Times New Roman"/>
          <w:sz w:val="24"/>
          <w:szCs w:val="24"/>
        </w:rPr>
      </w:pPr>
      <w:r>
        <w:rPr>
          <w:rFonts w:ascii="Times New Roman" w:eastAsia="MS Mincho" w:hAnsi="Times New Roman" w:cs="Times New Roman"/>
          <w:sz w:val="24"/>
          <w:szCs w:val="24"/>
        </w:rPr>
        <w:t>TABELA X</w:t>
      </w:r>
    </w:p>
    <w:p w:rsidR="00E451D1" w:rsidRDefault="00E451D1" w:rsidP="00E451D1">
      <w:pPr>
        <w:pStyle w:val="TextosemFormatao"/>
        <w:ind w:left="1410"/>
        <w:jc w:val="center"/>
        <w:rPr>
          <w:rFonts w:ascii="Times New Roman" w:eastAsia="MS Mincho" w:hAnsi="Times New Roman" w:cs="Times New Roman"/>
          <w:sz w:val="24"/>
          <w:szCs w:val="24"/>
        </w:rPr>
      </w:pPr>
    </w:p>
    <w:tbl>
      <w:tblPr>
        <w:tblW w:w="9654" w:type="dxa"/>
        <w:tblInd w:w="55" w:type="dxa"/>
        <w:tblCellMar>
          <w:left w:w="70" w:type="dxa"/>
          <w:right w:w="70" w:type="dxa"/>
        </w:tblCellMar>
        <w:tblLook w:val="04A0" w:firstRow="1" w:lastRow="0" w:firstColumn="1" w:lastColumn="0" w:noHBand="0" w:noVBand="1"/>
      </w:tblPr>
      <w:tblGrid>
        <w:gridCol w:w="293"/>
        <w:gridCol w:w="2274"/>
        <w:gridCol w:w="1100"/>
        <w:gridCol w:w="1100"/>
        <w:gridCol w:w="1100"/>
        <w:gridCol w:w="1100"/>
        <w:gridCol w:w="986"/>
        <w:gridCol w:w="306"/>
        <w:gridCol w:w="1395"/>
      </w:tblGrid>
      <w:tr w:rsidR="00E451D1" w:rsidTr="00E451D1">
        <w:trPr>
          <w:trHeight w:val="315"/>
        </w:trPr>
        <w:tc>
          <w:tcPr>
            <w:tcW w:w="7953" w:type="dxa"/>
            <w:gridSpan w:val="7"/>
            <w:vMerge w:val="restart"/>
            <w:tcBorders>
              <w:top w:val="single" w:sz="4" w:space="0" w:color="auto"/>
              <w:left w:val="single" w:sz="4" w:space="0" w:color="auto"/>
              <w:bottom w:val="single" w:sz="4" w:space="0" w:color="000000"/>
              <w:right w:val="single" w:sz="4" w:space="0" w:color="000000"/>
            </w:tcBorders>
            <w:shd w:val="clear" w:color="auto" w:fill="C0C0C0"/>
            <w:noWrap/>
            <w:vAlign w:val="center"/>
            <w:hideMark/>
          </w:tcPr>
          <w:p w:rsidR="00E451D1" w:rsidRDefault="00E451D1">
            <w:pPr>
              <w:rPr>
                <w:rFonts w:ascii="Times New Roman" w:hAnsi="Times New Roman"/>
                <w:b/>
                <w:bCs/>
                <w:sz w:val="24"/>
                <w:szCs w:val="24"/>
                <w:lang w:eastAsia="pt-BR"/>
              </w:rPr>
            </w:pPr>
            <w:r>
              <w:rPr>
                <w:rFonts w:ascii="Times New Roman" w:eastAsia="MS Mincho" w:hAnsi="Times New Roman"/>
                <w:sz w:val="24"/>
                <w:szCs w:val="24"/>
              </w:rPr>
              <w:tab/>
            </w:r>
            <w:r>
              <w:rPr>
                <w:rFonts w:ascii="Times New Roman" w:hAnsi="Times New Roman"/>
                <w:b/>
                <w:bCs/>
                <w:sz w:val="24"/>
                <w:szCs w:val="24"/>
                <w:lang w:eastAsia="pt-BR"/>
              </w:rPr>
              <w:t>DISCRIMINAÇÃO</w:t>
            </w:r>
          </w:p>
        </w:tc>
        <w:tc>
          <w:tcPr>
            <w:tcW w:w="1701" w:type="dxa"/>
            <w:gridSpan w:val="2"/>
            <w:tcBorders>
              <w:top w:val="single" w:sz="4" w:space="0" w:color="auto"/>
              <w:left w:val="nil"/>
              <w:bottom w:val="single" w:sz="4" w:space="0" w:color="auto"/>
              <w:right w:val="single" w:sz="4" w:space="0" w:color="000000"/>
            </w:tcBorders>
            <w:shd w:val="clear" w:color="auto" w:fill="C0C0C0"/>
            <w:noWrap/>
            <w:hideMark/>
          </w:tcPr>
          <w:p w:rsidR="00E451D1" w:rsidRDefault="00E451D1">
            <w:pPr>
              <w:jc w:val="center"/>
              <w:rPr>
                <w:rFonts w:ascii="Times New Roman" w:hAnsi="Times New Roman"/>
                <w:b/>
                <w:bCs/>
                <w:sz w:val="24"/>
                <w:szCs w:val="24"/>
                <w:lang w:eastAsia="pt-BR"/>
              </w:rPr>
            </w:pPr>
            <w:r>
              <w:rPr>
                <w:rFonts w:ascii="Times New Roman" w:hAnsi="Times New Roman"/>
                <w:b/>
                <w:bCs/>
                <w:sz w:val="24"/>
                <w:szCs w:val="24"/>
                <w:lang w:eastAsia="pt-BR"/>
              </w:rPr>
              <w:t>VRM</w:t>
            </w:r>
          </w:p>
        </w:tc>
      </w:tr>
      <w:tr w:rsidR="00E451D1" w:rsidTr="00E451D1">
        <w:trPr>
          <w:trHeight w:val="255"/>
        </w:trPr>
        <w:tc>
          <w:tcPr>
            <w:tcW w:w="0" w:type="auto"/>
            <w:gridSpan w:val="7"/>
            <w:vMerge/>
            <w:tcBorders>
              <w:top w:val="single" w:sz="4" w:space="0" w:color="auto"/>
              <w:left w:val="single" w:sz="4" w:space="0" w:color="auto"/>
              <w:bottom w:val="single" w:sz="4" w:space="0" w:color="000000"/>
              <w:right w:val="single" w:sz="4" w:space="0" w:color="000000"/>
            </w:tcBorders>
            <w:vAlign w:val="center"/>
            <w:hideMark/>
          </w:tcPr>
          <w:p w:rsidR="00E451D1" w:rsidRDefault="00E451D1">
            <w:pPr>
              <w:rPr>
                <w:rFonts w:ascii="Times New Roman" w:hAnsi="Times New Roman"/>
                <w:b/>
                <w:bCs/>
                <w:sz w:val="24"/>
                <w:szCs w:val="24"/>
                <w:lang w:eastAsia="pt-BR"/>
              </w:rPr>
            </w:pPr>
          </w:p>
        </w:tc>
        <w:tc>
          <w:tcPr>
            <w:tcW w:w="1701" w:type="dxa"/>
            <w:gridSpan w:val="2"/>
            <w:tcBorders>
              <w:top w:val="single" w:sz="4" w:space="0" w:color="auto"/>
              <w:left w:val="nil"/>
              <w:bottom w:val="single" w:sz="4" w:space="0" w:color="auto"/>
              <w:right w:val="single" w:sz="4" w:space="0" w:color="000000"/>
            </w:tcBorders>
            <w:noWrap/>
            <w:hideMark/>
          </w:tcPr>
          <w:p w:rsidR="00E451D1" w:rsidRDefault="00E451D1">
            <w:pPr>
              <w:jc w:val="center"/>
              <w:rPr>
                <w:rFonts w:ascii="Times New Roman" w:hAnsi="Times New Roman"/>
                <w:b/>
                <w:bCs/>
                <w:sz w:val="24"/>
                <w:szCs w:val="24"/>
                <w:lang w:eastAsia="pt-BR"/>
              </w:rPr>
            </w:pPr>
            <w:r>
              <w:rPr>
                <w:rFonts w:ascii="Times New Roman" w:hAnsi="Times New Roman"/>
                <w:b/>
                <w:bCs/>
                <w:sz w:val="24"/>
                <w:szCs w:val="24"/>
                <w:lang w:eastAsia="pt-BR"/>
              </w:rPr>
              <w:t xml:space="preserve">Por ano </w:t>
            </w:r>
          </w:p>
        </w:tc>
      </w:tr>
      <w:tr w:rsidR="00E451D1" w:rsidTr="00E451D1">
        <w:trPr>
          <w:trHeight w:val="300"/>
        </w:trPr>
        <w:tc>
          <w:tcPr>
            <w:tcW w:w="4767" w:type="dxa"/>
            <w:gridSpan w:val="4"/>
            <w:tcBorders>
              <w:top w:val="single" w:sz="4" w:space="0" w:color="auto"/>
              <w:left w:val="single" w:sz="4" w:space="0" w:color="auto"/>
              <w:bottom w:val="nil"/>
              <w:right w:val="nil"/>
            </w:tcBorders>
            <w:noWrap/>
            <w:vAlign w:val="bottom"/>
            <w:hideMark/>
          </w:tcPr>
          <w:p w:rsidR="00E451D1" w:rsidRDefault="00E451D1">
            <w:pPr>
              <w:rPr>
                <w:rFonts w:ascii="Times New Roman" w:hAnsi="Times New Roman"/>
                <w:sz w:val="24"/>
                <w:szCs w:val="24"/>
                <w:u w:val="single"/>
                <w:lang w:eastAsia="pt-BR"/>
              </w:rPr>
            </w:pPr>
            <w:r>
              <w:rPr>
                <w:rFonts w:ascii="Times New Roman" w:hAnsi="Times New Roman"/>
                <w:sz w:val="24"/>
                <w:szCs w:val="24"/>
                <w:u w:val="single"/>
                <w:lang w:eastAsia="pt-BR"/>
              </w:rPr>
              <w:t>COLETA DE LIXO, por ano</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986"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nil"/>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r>
      <w:tr w:rsidR="00E451D1" w:rsidTr="00E451D1">
        <w:trPr>
          <w:trHeight w:val="300"/>
        </w:trPr>
        <w:tc>
          <w:tcPr>
            <w:tcW w:w="3667" w:type="dxa"/>
            <w:gridSpan w:val="3"/>
            <w:tcBorders>
              <w:top w:val="nil"/>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xml:space="preserve">1 - Unidades prediais </w:t>
            </w:r>
          </w:p>
        </w:tc>
        <w:tc>
          <w:tcPr>
            <w:tcW w:w="1100"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986"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tcBorders>
              <w:top w:val="nil"/>
              <w:left w:val="nil"/>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5574" w:type="dxa"/>
            <w:gridSpan w:val="4"/>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1.1 - Bares e Restaurantes</w:t>
            </w:r>
          </w:p>
        </w:tc>
        <w:tc>
          <w:tcPr>
            <w:tcW w:w="1100"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986"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1,89</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tcBorders>
              <w:top w:val="nil"/>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1.2 - Residencial</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986" w:type="dxa"/>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nil"/>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1.2.1 - até 100 m² de área construída</w:t>
            </w:r>
          </w:p>
        </w:tc>
        <w:tc>
          <w:tcPr>
            <w:tcW w:w="306" w:type="dxa"/>
            <w:tcBorders>
              <w:top w:val="single" w:sz="4" w:space="0" w:color="auto"/>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single" w:sz="4" w:space="0" w:color="auto"/>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1,58</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1.2.2 - acima de 100 até 200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1,89</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1.2.3 - acima de 200 até 300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2,27</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1.2.4 - acima de 300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2,72</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6674"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1.3 - Comercial, Industrial, Serviços e outros</w:t>
            </w:r>
          </w:p>
        </w:tc>
        <w:tc>
          <w:tcPr>
            <w:tcW w:w="986" w:type="dxa"/>
            <w:tcBorders>
              <w:top w:val="nil"/>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tcBorders>
              <w:top w:val="nil"/>
              <w:left w:val="nil"/>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r>
      <w:tr w:rsidR="00E451D1" w:rsidTr="00E451D1">
        <w:trPr>
          <w:trHeight w:val="300"/>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1.3.1 - até 200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1,58</w:t>
            </w:r>
          </w:p>
        </w:tc>
      </w:tr>
      <w:tr w:rsidR="00E451D1" w:rsidTr="00E451D1">
        <w:trPr>
          <w:trHeight w:val="345"/>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1.3.2 - acima de 200 até 400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1,89</w:t>
            </w:r>
          </w:p>
        </w:tc>
      </w:tr>
      <w:tr w:rsidR="00E451D1" w:rsidTr="00E451D1">
        <w:trPr>
          <w:trHeight w:val="345"/>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1.3.3 - acima de 400 até 600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2,27</w:t>
            </w:r>
          </w:p>
        </w:tc>
      </w:tr>
      <w:tr w:rsidR="00E451D1" w:rsidTr="00E451D1">
        <w:trPr>
          <w:trHeight w:val="345"/>
        </w:trPr>
        <w:tc>
          <w:tcPr>
            <w:tcW w:w="293" w:type="dxa"/>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2274" w:type="dxa"/>
            <w:noWrap/>
            <w:vAlign w:val="bottom"/>
            <w:hideMark/>
          </w:tcPr>
          <w:p w:rsidR="00E451D1" w:rsidRDefault="00E451D1"/>
        </w:tc>
        <w:tc>
          <w:tcPr>
            <w:tcW w:w="5386" w:type="dxa"/>
            <w:gridSpan w:val="5"/>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1.3.4 - acima de 600 m² de área construída</w:t>
            </w:r>
          </w:p>
        </w:tc>
        <w:tc>
          <w:tcPr>
            <w:tcW w:w="306" w:type="dxa"/>
            <w:tcBorders>
              <w:top w:val="nil"/>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nil"/>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2,72</w:t>
            </w:r>
          </w:p>
        </w:tc>
      </w:tr>
      <w:tr w:rsidR="00E451D1" w:rsidTr="00E451D1">
        <w:trPr>
          <w:trHeight w:val="345"/>
        </w:trPr>
        <w:tc>
          <w:tcPr>
            <w:tcW w:w="3667" w:type="dxa"/>
            <w:gridSpan w:val="3"/>
            <w:tcBorders>
              <w:top w:val="nil"/>
              <w:left w:val="single" w:sz="4" w:space="0" w:color="auto"/>
              <w:bottom w:val="nil"/>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2 - Unidades territoriais</w:t>
            </w:r>
          </w:p>
        </w:tc>
        <w:tc>
          <w:tcPr>
            <w:tcW w:w="1100" w:type="dxa"/>
            <w:noWrap/>
            <w:vAlign w:val="bottom"/>
            <w:hideMark/>
          </w:tcPr>
          <w:p w:rsidR="00E451D1" w:rsidRDefault="00E451D1"/>
        </w:tc>
        <w:tc>
          <w:tcPr>
            <w:tcW w:w="1100" w:type="dxa"/>
            <w:noWrap/>
            <w:vAlign w:val="bottom"/>
            <w:hideMark/>
          </w:tcPr>
          <w:p w:rsidR="00E451D1" w:rsidRDefault="00E451D1"/>
        </w:tc>
        <w:tc>
          <w:tcPr>
            <w:tcW w:w="1100" w:type="dxa"/>
            <w:noWrap/>
            <w:vAlign w:val="bottom"/>
            <w:hideMark/>
          </w:tcPr>
          <w:p w:rsidR="00E451D1" w:rsidRDefault="00E451D1"/>
        </w:tc>
        <w:tc>
          <w:tcPr>
            <w:tcW w:w="986" w:type="dxa"/>
            <w:noWrap/>
            <w:vAlign w:val="bottom"/>
            <w:hideMark/>
          </w:tcPr>
          <w:p w:rsidR="00E451D1" w:rsidRDefault="00E451D1"/>
        </w:tc>
        <w:tc>
          <w:tcPr>
            <w:tcW w:w="306" w:type="dxa"/>
            <w:noWrap/>
            <w:vAlign w:val="bottom"/>
            <w:hideMark/>
          </w:tcPr>
          <w:p w:rsidR="00E451D1" w:rsidRDefault="00E451D1"/>
        </w:tc>
        <w:tc>
          <w:tcPr>
            <w:tcW w:w="1395" w:type="dxa"/>
            <w:tcBorders>
              <w:top w:val="nil"/>
              <w:left w:val="nil"/>
              <w:bottom w:val="nil"/>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r>
      <w:tr w:rsidR="00E451D1" w:rsidTr="00E451D1">
        <w:trPr>
          <w:trHeight w:val="345"/>
        </w:trPr>
        <w:tc>
          <w:tcPr>
            <w:tcW w:w="293" w:type="dxa"/>
            <w:tcBorders>
              <w:top w:val="nil"/>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4474" w:type="dxa"/>
            <w:gridSpan w:val="3"/>
            <w:tcBorders>
              <w:top w:val="single" w:sz="4" w:space="0" w:color="auto"/>
              <w:left w:val="single" w:sz="4" w:space="0" w:color="auto"/>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2.1 - Terrenos baldios</w:t>
            </w:r>
          </w:p>
        </w:tc>
        <w:tc>
          <w:tcPr>
            <w:tcW w:w="1100" w:type="dxa"/>
            <w:tcBorders>
              <w:top w:val="single" w:sz="4" w:space="0" w:color="auto"/>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1100" w:type="dxa"/>
            <w:tcBorders>
              <w:top w:val="single" w:sz="4" w:space="0" w:color="auto"/>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986" w:type="dxa"/>
            <w:tcBorders>
              <w:top w:val="single" w:sz="4" w:space="0" w:color="auto"/>
              <w:left w:val="nil"/>
              <w:bottom w:val="single" w:sz="4" w:space="0" w:color="auto"/>
              <w:right w:val="nil"/>
            </w:tcBorders>
            <w:noWrap/>
            <w:vAlign w:val="bottom"/>
            <w:hideMark/>
          </w:tcPr>
          <w:p w:rsidR="00E451D1" w:rsidRDefault="00E451D1">
            <w:pPr>
              <w:rPr>
                <w:rFonts w:ascii="Times New Roman" w:hAnsi="Times New Roman"/>
                <w:sz w:val="24"/>
                <w:szCs w:val="24"/>
                <w:lang w:eastAsia="pt-BR"/>
              </w:rPr>
            </w:pPr>
            <w:r>
              <w:rPr>
                <w:rFonts w:ascii="Times New Roman" w:hAnsi="Times New Roman"/>
                <w:sz w:val="24"/>
                <w:szCs w:val="24"/>
                <w:lang w:eastAsia="pt-BR"/>
              </w:rPr>
              <w:t> </w:t>
            </w:r>
          </w:p>
        </w:tc>
        <w:tc>
          <w:tcPr>
            <w:tcW w:w="306" w:type="dxa"/>
            <w:tcBorders>
              <w:top w:val="single" w:sz="4" w:space="0" w:color="auto"/>
              <w:left w:val="single" w:sz="4" w:space="0" w:color="auto"/>
              <w:bottom w:val="single" w:sz="4" w:space="0" w:color="auto"/>
              <w:right w:val="nil"/>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 </w:t>
            </w:r>
          </w:p>
        </w:tc>
        <w:tc>
          <w:tcPr>
            <w:tcW w:w="1395" w:type="dxa"/>
            <w:tcBorders>
              <w:top w:val="single" w:sz="4" w:space="0" w:color="auto"/>
              <w:left w:val="nil"/>
              <w:bottom w:val="single" w:sz="4" w:space="0" w:color="auto"/>
              <w:right w:val="single" w:sz="4" w:space="0" w:color="auto"/>
            </w:tcBorders>
            <w:noWrap/>
            <w:vAlign w:val="bottom"/>
            <w:hideMark/>
          </w:tcPr>
          <w:p w:rsidR="00E451D1" w:rsidRDefault="00E451D1">
            <w:pPr>
              <w:jc w:val="center"/>
              <w:rPr>
                <w:rFonts w:ascii="Times New Roman" w:hAnsi="Times New Roman"/>
                <w:sz w:val="24"/>
                <w:szCs w:val="24"/>
                <w:lang w:eastAsia="pt-BR"/>
              </w:rPr>
            </w:pPr>
            <w:r>
              <w:rPr>
                <w:rFonts w:ascii="Times New Roman" w:hAnsi="Times New Roman"/>
                <w:sz w:val="24"/>
                <w:szCs w:val="24"/>
                <w:lang w:eastAsia="pt-BR"/>
              </w:rPr>
              <w:t>0,42</w:t>
            </w:r>
          </w:p>
        </w:tc>
      </w:tr>
    </w:tbl>
    <w:p w:rsidR="00E451D1" w:rsidRDefault="00E451D1" w:rsidP="00E451D1">
      <w:pPr>
        <w:pStyle w:val="TextosemFormatao"/>
        <w:jc w:val="both"/>
        <w:rPr>
          <w:rFonts w:ascii="Times New Roman" w:eastAsia="MS Mincho" w:hAnsi="Times New Roman" w:cs="Times New Roman"/>
          <w:sz w:val="24"/>
          <w:szCs w:val="24"/>
        </w:rPr>
      </w:pPr>
    </w:p>
    <w:p w:rsidR="00E451D1" w:rsidRDefault="00E451D1" w:rsidP="00E451D1">
      <w:pPr>
        <w:widowControl w:val="0"/>
        <w:tabs>
          <w:tab w:val="left" w:pos="140"/>
          <w:tab w:val="left" w:pos="1120"/>
          <w:tab w:val="left" w:pos="1440"/>
        </w:tabs>
        <w:suppressAutoHyphens/>
        <w:spacing w:line="360" w:lineRule="auto"/>
        <w:jc w:val="both"/>
        <w:rPr>
          <w:rFonts w:ascii="Times New Roman" w:eastAsia="Lucida Sans Unicode" w:hAnsi="Times New Roman"/>
          <w:sz w:val="24"/>
          <w:szCs w:val="24"/>
          <w:lang w:eastAsia="pt-BR"/>
        </w:rPr>
      </w:pPr>
      <w:r>
        <w:rPr>
          <w:rFonts w:ascii="Times New Roman" w:eastAsia="Lucida Sans Unicode" w:hAnsi="Times New Roman"/>
          <w:b/>
          <w:sz w:val="24"/>
          <w:szCs w:val="24"/>
          <w:lang w:eastAsia="pt-BR"/>
        </w:rPr>
        <w:t>Artigo 2º -</w:t>
      </w:r>
      <w:r>
        <w:rPr>
          <w:rFonts w:ascii="Times New Roman" w:eastAsia="Lucida Sans Unicode" w:hAnsi="Times New Roman"/>
          <w:sz w:val="24"/>
          <w:szCs w:val="24"/>
          <w:lang w:eastAsia="pt-BR"/>
        </w:rPr>
        <w:t xml:space="preserve"> </w:t>
      </w:r>
      <w:r>
        <w:rPr>
          <w:rFonts w:ascii="Times New Roman" w:eastAsia="Lucida Sans Unicode" w:hAnsi="Times New Roman"/>
          <w:sz w:val="24"/>
          <w:szCs w:val="24"/>
          <w:lang w:eastAsia="pt-BR"/>
        </w:rPr>
        <w:tab/>
        <w:t xml:space="preserve">Esta lei entra em vigor na data de sua publicação, revogadas as disposições em contrário. </w:t>
      </w:r>
    </w:p>
    <w:p w:rsidR="00E451D1" w:rsidRDefault="00907A97" w:rsidP="00E451D1">
      <w:pPr>
        <w:widowControl w:val="0"/>
        <w:tabs>
          <w:tab w:val="left" w:pos="140"/>
          <w:tab w:val="left" w:pos="1120"/>
          <w:tab w:val="left" w:pos="2240"/>
        </w:tabs>
        <w:suppressAutoHyphens/>
        <w:spacing w:line="360" w:lineRule="auto"/>
        <w:jc w:val="center"/>
        <w:rPr>
          <w:rFonts w:ascii="Times New Roman" w:eastAsia="Lucida Sans Unicode" w:hAnsi="Times New Roman"/>
          <w:sz w:val="24"/>
          <w:szCs w:val="24"/>
          <w:lang w:eastAsia="pt-BR"/>
        </w:rPr>
      </w:pPr>
      <w:r>
        <w:rPr>
          <w:rFonts w:ascii="Times New Roman" w:eastAsia="Lucida Sans Unicode" w:hAnsi="Times New Roman"/>
          <w:sz w:val="24"/>
          <w:szCs w:val="24"/>
          <w:lang w:eastAsia="pt-BR"/>
        </w:rPr>
        <w:t>GABINETE DO PREFEITO, 19 DE SETEMBRO DE 2017.</w:t>
      </w:r>
    </w:p>
    <w:p w:rsidR="00E451D1" w:rsidRDefault="00E451D1" w:rsidP="00E451D1">
      <w:pPr>
        <w:tabs>
          <w:tab w:val="left" w:pos="140"/>
          <w:tab w:val="left" w:pos="1120"/>
          <w:tab w:val="left" w:pos="2240"/>
        </w:tabs>
        <w:spacing w:line="360" w:lineRule="auto"/>
        <w:jc w:val="both"/>
        <w:rPr>
          <w:rFonts w:ascii="Times New Roman" w:hAnsi="Times New Roman"/>
          <w:sz w:val="24"/>
          <w:szCs w:val="24"/>
          <w:lang w:eastAsia="pt-BR"/>
        </w:rPr>
      </w:pPr>
    </w:p>
    <w:p w:rsidR="00E451D1" w:rsidRDefault="00907A97" w:rsidP="00E451D1">
      <w:pPr>
        <w:tabs>
          <w:tab w:val="left" w:pos="140"/>
          <w:tab w:val="left" w:pos="1120"/>
          <w:tab w:val="left" w:pos="2240"/>
        </w:tabs>
        <w:spacing w:line="360" w:lineRule="auto"/>
        <w:ind w:left="800" w:hanging="660"/>
        <w:jc w:val="center"/>
        <w:rPr>
          <w:rFonts w:ascii="Times New Roman" w:hAnsi="Times New Roman"/>
          <w:b/>
          <w:sz w:val="24"/>
          <w:szCs w:val="24"/>
          <w:lang w:eastAsia="pt-BR"/>
        </w:rPr>
      </w:pPr>
      <w:r>
        <w:rPr>
          <w:rFonts w:ascii="Times New Roman" w:hAnsi="Times New Roman"/>
          <w:b/>
          <w:sz w:val="24"/>
          <w:szCs w:val="24"/>
          <w:lang w:eastAsia="pt-BR"/>
        </w:rPr>
        <w:t>MÁRIO ROBERTO UTZIG FILHO</w:t>
      </w:r>
    </w:p>
    <w:p w:rsidR="00E451D1" w:rsidRPr="00907A97" w:rsidRDefault="00907A97" w:rsidP="00907A97">
      <w:pPr>
        <w:tabs>
          <w:tab w:val="left" w:pos="140"/>
          <w:tab w:val="left" w:pos="1120"/>
          <w:tab w:val="left" w:pos="2240"/>
        </w:tabs>
        <w:spacing w:line="360" w:lineRule="auto"/>
        <w:ind w:left="800" w:hanging="660"/>
        <w:jc w:val="center"/>
        <w:rPr>
          <w:rFonts w:ascii="Times New Roman" w:eastAsiaTheme="minorHAnsi" w:hAnsi="Times New Roman"/>
          <w:sz w:val="24"/>
          <w:szCs w:val="24"/>
        </w:rPr>
      </w:pPr>
      <w:r>
        <w:rPr>
          <w:rFonts w:ascii="Times New Roman" w:hAnsi="Times New Roman"/>
          <w:b/>
          <w:sz w:val="24"/>
          <w:szCs w:val="24"/>
          <w:lang w:eastAsia="pt-BR"/>
        </w:rPr>
        <w:t>PREFEITO MUNICIPAL</w:t>
      </w:r>
    </w:p>
    <w:sectPr w:rsidR="00E451D1" w:rsidRPr="00907A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89E"/>
    <w:multiLevelType w:val="hybridMultilevel"/>
    <w:tmpl w:val="94F874BC"/>
    <w:lvl w:ilvl="0" w:tplc="4EAEE4B6">
      <w:start w:val="1"/>
      <w:numFmt w:val="lowerLetter"/>
      <w:lvlText w:val="%1)"/>
      <w:lvlJc w:val="left"/>
      <w:pPr>
        <w:ind w:left="2490" w:hanging="360"/>
      </w:p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1">
    <w:nsid w:val="356F205B"/>
    <w:multiLevelType w:val="singleLevel"/>
    <w:tmpl w:val="04160017"/>
    <w:lvl w:ilvl="0">
      <w:start w:val="1"/>
      <w:numFmt w:val="lowerLetter"/>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48"/>
    <w:rsid w:val="000D19A7"/>
    <w:rsid w:val="002D6248"/>
    <w:rsid w:val="005F30D5"/>
    <w:rsid w:val="00907A97"/>
    <w:rsid w:val="00C95C79"/>
    <w:rsid w:val="00E45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48"/>
    <w:rPr>
      <w:rFonts w:eastAsia="Times New Roman" w:cs="Times New Roman"/>
    </w:rPr>
  </w:style>
  <w:style w:type="paragraph" w:styleId="Ttulo3">
    <w:name w:val="heading 3"/>
    <w:basedOn w:val="Normal"/>
    <w:next w:val="Normal"/>
    <w:link w:val="Ttulo3Char"/>
    <w:semiHidden/>
    <w:unhideWhenUsed/>
    <w:qFormat/>
    <w:rsid w:val="00E451D1"/>
    <w:pPr>
      <w:keepNext/>
      <w:widowControl w:val="0"/>
      <w:snapToGrid w:val="0"/>
      <w:spacing w:after="0" w:line="240" w:lineRule="auto"/>
      <w:ind w:right="-1"/>
      <w:jc w:val="center"/>
      <w:outlineLvl w:val="2"/>
    </w:pPr>
    <w:rPr>
      <w:rFonts w:ascii="Times New Roman" w:hAnsi="Times New Roman"/>
      <w:b/>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2D6248"/>
    <w:pPr>
      <w:spacing w:after="0" w:line="240" w:lineRule="auto"/>
    </w:pPr>
    <w:rPr>
      <w:rFonts w:ascii="Arial Narrow" w:hAnsi="Arial Narrow"/>
      <w:color w:val="0000FF"/>
      <w:sz w:val="36"/>
      <w:szCs w:val="20"/>
      <w:lang w:eastAsia="pt-BR"/>
    </w:rPr>
  </w:style>
  <w:style w:type="character" w:customStyle="1" w:styleId="CorpodetextoChar">
    <w:name w:val="Corpo de texto Char"/>
    <w:basedOn w:val="Fontepargpadro"/>
    <w:link w:val="Corpodetexto"/>
    <w:semiHidden/>
    <w:rsid w:val="002D6248"/>
    <w:rPr>
      <w:rFonts w:ascii="Arial Narrow" w:eastAsia="Times New Roman" w:hAnsi="Arial Narrow" w:cs="Times New Roman"/>
      <w:color w:val="0000FF"/>
      <w:sz w:val="36"/>
      <w:szCs w:val="20"/>
      <w:lang w:eastAsia="pt-BR"/>
    </w:rPr>
  </w:style>
  <w:style w:type="paragraph" w:styleId="Recuodecorpodetexto">
    <w:name w:val="Body Text Indent"/>
    <w:basedOn w:val="Normal"/>
    <w:link w:val="RecuodecorpodetextoChar"/>
    <w:semiHidden/>
    <w:unhideWhenUsed/>
    <w:rsid w:val="002D6248"/>
    <w:pPr>
      <w:spacing w:after="120" w:line="240" w:lineRule="auto"/>
      <w:ind w:left="283"/>
    </w:pPr>
    <w:rPr>
      <w:rFonts w:ascii="Times New Roman" w:hAnsi="Times New Roman"/>
      <w:color w:val="000000"/>
      <w:sz w:val="20"/>
      <w:szCs w:val="20"/>
      <w:lang w:eastAsia="pt-BR"/>
    </w:rPr>
  </w:style>
  <w:style w:type="character" w:customStyle="1" w:styleId="RecuodecorpodetextoChar">
    <w:name w:val="Recuo de corpo de texto Char"/>
    <w:basedOn w:val="Fontepargpadro"/>
    <w:link w:val="Recuodecorpodetexto"/>
    <w:semiHidden/>
    <w:rsid w:val="002D6248"/>
    <w:rPr>
      <w:rFonts w:ascii="Times New Roman" w:eastAsia="Times New Roman" w:hAnsi="Times New Roman" w:cs="Times New Roman"/>
      <w:color w:val="000000"/>
      <w:sz w:val="20"/>
      <w:szCs w:val="20"/>
      <w:lang w:eastAsia="pt-BR"/>
    </w:rPr>
  </w:style>
  <w:style w:type="character" w:customStyle="1" w:styleId="Ttulo3Char">
    <w:name w:val="Título 3 Char"/>
    <w:basedOn w:val="Fontepargpadro"/>
    <w:link w:val="Ttulo3"/>
    <w:semiHidden/>
    <w:rsid w:val="00E451D1"/>
    <w:rPr>
      <w:rFonts w:ascii="Times New Roman" w:eastAsia="Times New Roman" w:hAnsi="Times New Roman" w:cs="Times New Roman"/>
      <w:b/>
      <w:color w:val="000000"/>
      <w:sz w:val="24"/>
      <w:szCs w:val="20"/>
      <w:lang w:eastAsia="pt-BR"/>
    </w:rPr>
  </w:style>
  <w:style w:type="paragraph" w:styleId="TextosemFormatao">
    <w:name w:val="Plain Text"/>
    <w:basedOn w:val="Normal"/>
    <w:link w:val="TextosemFormataoChar"/>
    <w:semiHidden/>
    <w:unhideWhenUsed/>
    <w:rsid w:val="00E451D1"/>
    <w:pPr>
      <w:spacing w:after="0" w:line="240" w:lineRule="auto"/>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semiHidden/>
    <w:rsid w:val="00E451D1"/>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48"/>
    <w:rPr>
      <w:rFonts w:eastAsia="Times New Roman" w:cs="Times New Roman"/>
    </w:rPr>
  </w:style>
  <w:style w:type="paragraph" w:styleId="Ttulo3">
    <w:name w:val="heading 3"/>
    <w:basedOn w:val="Normal"/>
    <w:next w:val="Normal"/>
    <w:link w:val="Ttulo3Char"/>
    <w:semiHidden/>
    <w:unhideWhenUsed/>
    <w:qFormat/>
    <w:rsid w:val="00E451D1"/>
    <w:pPr>
      <w:keepNext/>
      <w:widowControl w:val="0"/>
      <w:snapToGrid w:val="0"/>
      <w:spacing w:after="0" w:line="240" w:lineRule="auto"/>
      <w:ind w:right="-1"/>
      <w:jc w:val="center"/>
      <w:outlineLvl w:val="2"/>
    </w:pPr>
    <w:rPr>
      <w:rFonts w:ascii="Times New Roman" w:hAnsi="Times New Roman"/>
      <w:b/>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2D6248"/>
    <w:pPr>
      <w:spacing w:after="0" w:line="240" w:lineRule="auto"/>
    </w:pPr>
    <w:rPr>
      <w:rFonts w:ascii="Arial Narrow" w:hAnsi="Arial Narrow"/>
      <w:color w:val="0000FF"/>
      <w:sz w:val="36"/>
      <w:szCs w:val="20"/>
      <w:lang w:eastAsia="pt-BR"/>
    </w:rPr>
  </w:style>
  <w:style w:type="character" w:customStyle="1" w:styleId="CorpodetextoChar">
    <w:name w:val="Corpo de texto Char"/>
    <w:basedOn w:val="Fontepargpadro"/>
    <w:link w:val="Corpodetexto"/>
    <w:semiHidden/>
    <w:rsid w:val="002D6248"/>
    <w:rPr>
      <w:rFonts w:ascii="Arial Narrow" w:eastAsia="Times New Roman" w:hAnsi="Arial Narrow" w:cs="Times New Roman"/>
      <w:color w:val="0000FF"/>
      <w:sz w:val="36"/>
      <w:szCs w:val="20"/>
      <w:lang w:eastAsia="pt-BR"/>
    </w:rPr>
  </w:style>
  <w:style w:type="paragraph" w:styleId="Recuodecorpodetexto">
    <w:name w:val="Body Text Indent"/>
    <w:basedOn w:val="Normal"/>
    <w:link w:val="RecuodecorpodetextoChar"/>
    <w:semiHidden/>
    <w:unhideWhenUsed/>
    <w:rsid w:val="002D6248"/>
    <w:pPr>
      <w:spacing w:after="120" w:line="240" w:lineRule="auto"/>
      <w:ind w:left="283"/>
    </w:pPr>
    <w:rPr>
      <w:rFonts w:ascii="Times New Roman" w:hAnsi="Times New Roman"/>
      <w:color w:val="000000"/>
      <w:sz w:val="20"/>
      <w:szCs w:val="20"/>
      <w:lang w:eastAsia="pt-BR"/>
    </w:rPr>
  </w:style>
  <w:style w:type="character" w:customStyle="1" w:styleId="RecuodecorpodetextoChar">
    <w:name w:val="Recuo de corpo de texto Char"/>
    <w:basedOn w:val="Fontepargpadro"/>
    <w:link w:val="Recuodecorpodetexto"/>
    <w:semiHidden/>
    <w:rsid w:val="002D6248"/>
    <w:rPr>
      <w:rFonts w:ascii="Times New Roman" w:eastAsia="Times New Roman" w:hAnsi="Times New Roman" w:cs="Times New Roman"/>
      <w:color w:val="000000"/>
      <w:sz w:val="20"/>
      <w:szCs w:val="20"/>
      <w:lang w:eastAsia="pt-BR"/>
    </w:rPr>
  </w:style>
  <w:style w:type="character" w:customStyle="1" w:styleId="Ttulo3Char">
    <w:name w:val="Título 3 Char"/>
    <w:basedOn w:val="Fontepargpadro"/>
    <w:link w:val="Ttulo3"/>
    <w:semiHidden/>
    <w:rsid w:val="00E451D1"/>
    <w:rPr>
      <w:rFonts w:ascii="Times New Roman" w:eastAsia="Times New Roman" w:hAnsi="Times New Roman" w:cs="Times New Roman"/>
      <w:b/>
      <w:color w:val="000000"/>
      <w:sz w:val="24"/>
      <w:szCs w:val="20"/>
      <w:lang w:eastAsia="pt-BR"/>
    </w:rPr>
  </w:style>
  <w:style w:type="paragraph" w:styleId="TextosemFormatao">
    <w:name w:val="Plain Text"/>
    <w:basedOn w:val="Normal"/>
    <w:link w:val="TextosemFormataoChar"/>
    <w:semiHidden/>
    <w:unhideWhenUsed/>
    <w:rsid w:val="00E451D1"/>
    <w:pPr>
      <w:spacing w:after="0" w:line="240" w:lineRule="auto"/>
    </w:pPr>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semiHidden/>
    <w:rsid w:val="00E451D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5416">
      <w:bodyDiv w:val="1"/>
      <w:marLeft w:val="0"/>
      <w:marRight w:val="0"/>
      <w:marTop w:val="0"/>
      <w:marBottom w:val="0"/>
      <w:divBdr>
        <w:top w:val="none" w:sz="0" w:space="0" w:color="auto"/>
        <w:left w:val="none" w:sz="0" w:space="0" w:color="auto"/>
        <w:bottom w:val="none" w:sz="0" w:space="0" w:color="auto"/>
        <w:right w:val="none" w:sz="0" w:space="0" w:color="auto"/>
      </w:divBdr>
    </w:div>
    <w:div w:id="20625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MERI GONÇALVES</dc:creator>
  <cp:lastModifiedBy>CARLOS MERI GONÇALVES</cp:lastModifiedBy>
  <cp:revision>2</cp:revision>
  <dcterms:created xsi:type="dcterms:W3CDTF">2017-09-19T11:20:00Z</dcterms:created>
  <dcterms:modified xsi:type="dcterms:W3CDTF">2017-09-19T11:20:00Z</dcterms:modified>
</cp:coreProperties>
</file>